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SEZNAM TŘETÍCH OSOB, KTERÝM JSOU PŘEDÁVÁNY OSOBNÍ ÚDAJE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V souladu se Zásadami zpracování osobních údajů, dostupné na adrese :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</w:rPr>
        <w:t>Obec</w:t>
        <w:tab/>
        <w:t>Kojatín</w:t>
        <w:br/>
        <w:t>Kojatín</w:t>
        <w:tab/>
        <w:t>38</w:t>
        <w:br/>
        <w:t>67503</w:t>
        <w:tab/>
        <w:t>Budišov</w:t>
      </w: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  <w:r>
        <w:rPr/>
        <w:t xml:space="preserve">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S ohledem na výše uvedené upozorňujeme, že z naší strany dochází k předání osobních údajů následujícím třetím osobám s popsaným účelem:</w:t>
      </w:r>
    </w:p>
    <w:p>
      <w:pPr>
        <w:pStyle w:val="Normal"/>
        <w:spacing w:lineRule="auto" w:line="276"/>
        <w:jc w:val="both"/>
        <w:rPr/>
      </w:pPr>
      <w:r>
        <w:rPr/>
      </w:r>
    </w:p>
    <w:tbl>
      <w:tblPr>
        <w:tblStyle w:val="Mkatabulky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019"/>
        <w:gridCol w:w="3019"/>
      </w:tblGrid>
      <w:tr>
        <w:trPr>
          <w:trHeight w:val="850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Osobní údaj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Osoba, který je údaj předán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Účel předání</w:t>
            </w:r>
          </w:p>
        </w:tc>
      </w:tr>
      <w:tr>
        <w:trPr>
          <w:trHeight w:val="850" w:hRule="atLeast"/>
        </w:trPr>
        <w:tc>
          <w:tcPr>
            <w:tcW w:w="30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(Jméno a příjmení)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(Externí účetní)</w:t>
            </w:r>
          </w:p>
        </w:tc>
        <w:tc>
          <w:tcPr>
            <w:tcW w:w="30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(Zpracování daňového přiznání)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cs="Calibri" w:cstheme="minorHAnsi"/>
          <w:color w:val="262626" w:themeColor="text1" w:themeTint="d9"/>
        </w:rPr>
      </w:pPr>
      <w:r>
        <w:rPr>
          <w:rFonts w:cs="Calibri" w:cstheme="minorHAnsi"/>
          <w:color w:val="262626" w:themeColor="text1" w:themeTint="d9"/>
        </w:rPr>
        <w:t xml:space="preserve">V případě jakéhokoli dotazu na ochranu osobních údajů či jakéhokoli podání ve věci Vašich osobních údajů včetně odvolání souhlasu s dalším zpracováním Vašich osobních údajů prosím využijte kontaktního formuláře dostupného na adrese </w:t>
      </w:r>
      <w:r>
        <w:rPr>
          <w:rFonts w:cs="Calibri" w:cstheme="minorHAnsi"/>
          <w:color w:val="262626" w:themeColor="text1" w:themeTint="d9"/>
          <w:highlight w:val="yellow"/>
        </w:rPr>
        <w:t>(*)</w:t>
      </w:r>
      <w:r>
        <w:rPr>
          <w:rFonts w:cs="Calibri" w:cstheme="minorHAnsi"/>
          <w:color w:val="262626" w:themeColor="text1" w:themeTint="d9"/>
        </w:rPr>
        <w:t xml:space="preserve"> či písemně na naší adrese: </w:t>
      </w:r>
      <w:r>
        <w:rPr>
          <w:rFonts w:cs="Calibri" w:cstheme="minorHAnsi"/>
          <w:color w:val="262626" w:themeColor="text1" w:themeTint="d9"/>
          <w:highlight w:val="yellow"/>
        </w:rPr>
        <w:t>(*)</w:t>
      </w:r>
      <w:r>
        <w:rPr>
          <w:rFonts w:cs="Calibri" w:cstheme="minorHAnsi"/>
          <w:color w:val="262626" w:themeColor="text1" w:themeTint="d9"/>
        </w:rPr>
        <w:t xml:space="preserve">. </w:t>
      </w:r>
    </w:p>
    <w:p>
      <w:pPr>
        <w:pStyle w:val="Normal"/>
        <w:spacing w:lineRule="auto" w:line="276"/>
        <w:jc w:val="both"/>
        <w:rPr>
          <w:rFonts w:cs="Calibri" w:cstheme="minorHAnsi"/>
          <w:color w:val="262626" w:themeColor="text1" w:themeTint="d9"/>
        </w:rPr>
      </w:pPr>
      <w:r>
        <w:rPr>
          <w:rFonts w:cs="Calibri" w:cstheme="minorHAnsi"/>
          <w:color w:val="262626" w:themeColor="text1" w:themeTint="d9"/>
        </w:rPr>
      </w:r>
    </w:p>
    <w:p>
      <w:pPr>
        <w:pStyle w:val="Normal"/>
        <w:spacing w:lineRule="auto" w:line="276"/>
        <w:jc w:val="both"/>
        <w:rPr>
          <w:rFonts w:cs="Calibri" w:cstheme="minorHAnsi"/>
          <w:color w:val="262626" w:themeColor="text1" w:themeTint="d9"/>
        </w:rPr>
      </w:pPr>
      <w:r>
        <w:rPr>
          <w:rFonts w:cs="Calibri" w:cstheme="minorHAnsi"/>
          <w:color w:val="262626" w:themeColor="text1" w:themeTint="d9"/>
        </w:rPr>
        <w:t>Současně sdělujeme, že do funkce po</w:t>
      </w:r>
      <w:bookmarkStart w:id="0" w:name="_GoBack"/>
      <w:bookmarkEnd w:id="0"/>
      <w:r>
        <w:rPr>
          <w:rFonts w:cs="Calibri" w:cstheme="minorHAnsi"/>
          <w:color w:val="262626" w:themeColor="text1" w:themeTint="d9"/>
        </w:rPr>
        <w:t xml:space="preserve">věřence pro ochranu osobních údajů naší Organizace </w:t>
      </w:r>
      <w:r>
        <w:rPr>
          <w:rFonts w:cs="Calibri" w:cstheme="minorHAnsi"/>
          <w:color w:val="262626" w:themeColor="text1" w:themeTint="d9"/>
          <w:highlight w:val="yellow"/>
        </w:rPr>
        <w:t>(*)</w:t>
      </w:r>
      <w:r>
        <w:rPr>
          <w:rFonts w:cs="Calibri" w:cstheme="minorHAnsi"/>
          <w:color w:val="262626" w:themeColor="text1" w:themeTint="d9"/>
        </w:rPr>
        <w:t xml:space="preserve"> byl jmenován Mgr. et. Bc. Luboš Kliment, advokát, se sídlem Nádražní 21, Žďár nad Sázavou, a lze ho kontaktovat prostřednictvím emailu: GDPR@akkliment.cz.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62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LibreOffice/6.0.3.2$Windows_X86_64 LibreOffice_project/8f48d515416608e3a835360314dac7e47fd0b821</Application>
  <Pages>1</Pages>
  <Words>192</Words>
  <Characters>1124</Characters>
  <CharactersWithSpaces>1307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2018-04-24T19:47:00Z</dcterms:created>
  <dc:creator>luboš kliment</dc:creator>
  <dc:description/>
  <dc:language>cs-CZ</dc:language>
  <cp:lastModifiedBy/>
  <dcterms:modified xsi:type="dcterms:W3CDTF">2018-05-24T23:31:10Z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